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inorHAnsi" w:hAnsi="Arial" w:cs="Arial"/>
          <w:b/>
          <w:sz w:val="24"/>
          <w:szCs w:val="24"/>
          <w:highlight w:val="lightGray"/>
          <w:lang w:eastAsia="en-US"/>
        </w:rPr>
        <w:id w:val="1808742019"/>
        <w:docPartObj>
          <w:docPartGallery w:val="Cover Pages"/>
          <w:docPartUnique/>
        </w:docPartObj>
      </w:sdtPr>
      <w:sdtEndPr/>
      <w:sdtContent>
        <w:p w:rsidR="00850848" w:rsidRPr="006E0691" w:rsidRDefault="00850848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sz w:val="24"/>
              <w:szCs w:val="24"/>
            </w:rPr>
            <w:t xml:space="preserve"> Załącznik nr </w:t>
          </w:r>
          <w:r w:rsidR="001B24F8">
            <w:rPr>
              <w:rFonts w:ascii="Arial" w:hAnsi="Arial" w:cs="Arial"/>
              <w:b/>
              <w:sz w:val="24"/>
              <w:szCs w:val="24"/>
            </w:rPr>
            <w:t>6.1.</w:t>
          </w:r>
          <w:r w:rsidRPr="006E0691">
            <w:rPr>
              <w:rFonts w:ascii="Arial" w:hAnsi="Arial" w:cs="Arial"/>
              <w:b/>
              <w:sz w:val="24"/>
              <w:szCs w:val="24"/>
            </w:rPr>
            <w:t xml:space="preserve"> do SWZ</w:t>
          </w:r>
        </w:p>
        <w:p w:rsidR="00850848" w:rsidRDefault="00850848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sz w:val="24"/>
              <w:szCs w:val="24"/>
            </w:rPr>
            <w:t>IF.271.1.2025</w:t>
          </w:r>
        </w:p>
        <w:p w:rsidR="006F0729" w:rsidRPr="006E0691" w:rsidRDefault="006F0729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Część </w:t>
          </w:r>
          <w:r w:rsidR="001B24F8">
            <w:rPr>
              <w:rFonts w:ascii="Arial" w:hAnsi="Arial" w:cs="Arial"/>
              <w:b/>
              <w:sz w:val="24"/>
              <w:szCs w:val="24"/>
            </w:rPr>
            <w:t>1</w:t>
          </w:r>
        </w:p>
        <w:p w:rsidR="001A2AC3" w:rsidRPr="006E0691" w:rsidRDefault="001B24F8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6E0691">
            <w:rPr>
              <w:rFonts w:ascii="Arial" w:hAnsi="Arial" w:cs="Arial"/>
              <w:b/>
              <w:noProof/>
              <w:sz w:val="24"/>
              <w:szCs w:val="24"/>
              <w:highlight w:val="lightGray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posOffset>213360</wp:posOffset>
                    </wp:positionH>
                    <wp:positionV relativeFrom="page">
                      <wp:posOffset>1704340</wp:posOffset>
                    </wp:positionV>
                    <wp:extent cx="1712595" cy="3840480"/>
                    <wp:effectExtent l="0" t="0" r="0" b="2540"/>
                    <wp:wrapNone/>
                    <wp:docPr id="138" name="Pole tekstowe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595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49"/>
                                  <w:gridCol w:w="5445"/>
                                </w:tblGrid>
                                <w:tr w:rsidR="006E0691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850848" w:rsidRDefault="00850848">
                                      <w:pPr>
                                        <w:jc w:val="right"/>
                                      </w:pPr>
                                    </w:p>
                                    <w:p w:rsidR="00850848" w:rsidRDefault="00A56320" w:rsidP="00C3687F">
                                      <w:pPr>
                                        <w:jc w:val="right"/>
                                        <w:rPr>
                                          <w:szCs w:val="24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aps/>
                                            <w:color w:val="191919" w:themeColor="text1" w:themeTint="E6"/>
                                            <w:sz w:val="44"/>
                                            <w:szCs w:val="72"/>
                                          </w:rPr>
                                          <w:alias w:val="Tytuł"/>
                                          <w:tag w:val=""/>
                                          <w:id w:val="-438379639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6F0729">
                                            <w:rPr>
                                              <w:caps/>
                                              <w:color w:val="191919" w:themeColor="text1" w:themeTint="E6"/>
                                              <w:sz w:val="44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  <w:r w:rsidR="006F0729" w:rsidRP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>DOSTAW</w:t>
                                      </w:r>
                                      <w:r w:rsid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>A</w:t>
                                      </w:r>
                                      <w:r w:rsidR="006F0729" w:rsidRP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 xml:space="preserve"> SPRZĘTU</w:t>
                                      </w:r>
                                      <w:r w:rsidR="00C3687F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 xml:space="preserve"> SPORTOWEGO </w:t>
                                      </w:r>
                                      <w:r w:rsidR="006F0729" w:rsidRPr="006F0729">
                                        <w:rPr>
                                          <w:caps/>
                                          <w:color w:val="191919" w:themeColor="text1" w:themeTint="E6"/>
                                          <w:sz w:val="44"/>
                                          <w:szCs w:val="72"/>
                                        </w:rPr>
                                        <w:t>DO SIEMIATYCKIEJ STREFY REKREACJI i ZDROWIA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alias w:val="Streszczenie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850848" w:rsidRPr="006E0691" w:rsidRDefault="00850848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6E0691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w:t>Dotyczy postępowania: IF.271.1.2025 „Zwiększenie atrakcyjności sportowej i turystycznej Siemiatycz”</w:t>
                                          </w:r>
                                        </w:p>
                                      </w:sdtContent>
                                    </w:sdt>
                                    <w:p w:rsidR="00850848" w:rsidRPr="006E0691" w:rsidRDefault="00850848">
                                      <w:pPr>
                                        <w:pStyle w:val="Bezodstpw"/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 xml:space="preserve">ZAMAWIAJĄCY: </w:t>
                                      </w: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Miasto Siemiatycze</w:t>
                                      </w:r>
                                    </w:p>
                                    <w:p w:rsidR="003B5F60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ul. Pałacowa 2</w:t>
                                      </w:r>
                                    </w:p>
                                    <w:p w:rsidR="00850848" w:rsidRPr="006E0691" w:rsidRDefault="003B5F60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E0691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17-300 Siemiatycze</w:t>
                                      </w:r>
                                    </w:p>
                                    <w:p w:rsidR="00850848" w:rsidRPr="006E0691" w:rsidRDefault="00850848" w:rsidP="00850848">
                                      <w:pPr>
                                        <w:pStyle w:val="Bezodstpw"/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  <w:p w:rsidR="00850848" w:rsidRPr="006E0691" w:rsidRDefault="00850848">
                                      <w:pPr>
                                        <w:pStyle w:val="Bezodstpw"/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50848" w:rsidRDefault="00850848"/>
                              <w:p w:rsidR="001A2AC3" w:rsidRDefault="00C3687F">
                                <w:r>
                                  <w:rPr>
                                    <w:noProof/>
                                    <w:lang w:eastAsia="pl-PL"/>
                                  </w:rPr>
                                  <w:drawing>
                                    <wp:inline distT="0" distB="0" distL="0" distR="0" wp14:anchorId="28092C62" wp14:editId="4C6796E4">
                                      <wp:extent cx="7106920" cy="3089910"/>
                                      <wp:effectExtent l="0" t="0" r="0" b="0"/>
                                      <wp:docPr id="3" name="Obraz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"/>
                                              <pic:cNvPicPr/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106920" cy="30899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1A2AC3" w:rsidRDefault="001B24F8">
                                <w:r>
                                  <w:t>Rys: Poglądowe rozmieszczenie sprzętów w strefie siłowni Siemiatyckiej Strefy Rekreacji i Zdrowia</w:t>
                                </w:r>
                              </w:p>
                              <w:p w:rsidR="001A2AC3" w:rsidRDefault="001A2AC3"/>
                              <w:p w:rsidR="001A2AC3" w:rsidRDefault="001A2AC3"/>
                              <w:p w:rsidR="001A2AC3" w:rsidRDefault="001A2AC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38" o:spid="_x0000_s1026" type="#_x0000_t202" style="position:absolute;left:0;text-align:left;margin-left:16.8pt;margin-top:134.2pt;width:134.85pt;height:302.4pt;z-index:251660288;visibility:visible;mso-wrap-style:square;mso-width-percent:941;mso-height-percent:77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49"/>
                            <w:gridCol w:w="5445"/>
                          </w:tblGrid>
                          <w:tr w:rsidR="006E0691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850848" w:rsidRDefault="00850848">
                                <w:pPr>
                                  <w:jc w:val="right"/>
                                </w:pPr>
                              </w:p>
                              <w:p w:rsidR="00850848" w:rsidRDefault="00A56320" w:rsidP="00C3687F">
                                <w:pPr>
                                  <w:jc w:val="right"/>
                                  <w:rPr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91919" w:themeColor="text1" w:themeTint="E6"/>
                                      <w:sz w:val="44"/>
                                      <w:szCs w:val="72"/>
                                    </w:rPr>
                                    <w:alias w:val="Tytuł"/>
                                    <w:tag w:val=""/>
                                    <w:id w:val="-43837963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F0729">
                                      <w:rPr>
                                        <w:caps/>
                                        <w:color w:val="191919" w:themeColor="text1" w:themeTint="E6"/>
                                        <w:sz w:val="44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6F0729" w:rsidRP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>DOSTAW</w:t>
                                </w:r>
                                <w:r w:rsid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>A</w:t>
                                </w:r>
                                <w:r w:rsidR="006F0729" w:rsidRP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 xml:space="preserve"> SPRZĘTU</w:t>
                                </w:r>
                                <w:r w:rsidR="00C3687F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 xml:space="preserve"> SPORTOWEGO </w:t>
                                </w:r>
                                <w:r w:rsidR="006F0729" w:rsidRPr="006F0729">
                                  <w:rPr>
                                    <w:caps/>
                                    <w:color w:val="191919" w:themeColor="text1" w:themeTint="E6"/>
                                    <w:sz w:val="44"/>
                                    <w:szCs w:val="72"/>
                                  </w:rPr>
                                  <w:t>DO SIEMIATYCKIEJ STREFY REKREACJI i ZDROWIA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Streszczenie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850848" w:rsidRPr="006E0691" w:rsidRDefault="00850848">
                                    <w:pPr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6E0691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Dotyczy postępowania: IF.271.1.2025 „Zwiększenie atrakcyjności sportowej i turystycznej Siemiatycz”</w:t>
                                    </w:r>
                                  </w:p>
                                </w:sdtContent>
                              </w:sdt>
                              <w:p w:rsidR="00850848" w:rsidRPr="006E0691" w:rsidRDefault="00850848">
                                <w:pPr>
                                  <w:pStyle w:val="Bezodstpw"/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ZAMAWIAJĄCY: </w:t>
                                </w: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Miasto Siemiatycze</w:t>
                                </w:r>
                              </w:p>
                              <w:p w:rsidR="003B5F60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ul. Pałacowa 2</w:t>
                                </w:r>
                              </w:p>
                              <w:p w:rsidR="00850848" w:rsidRPr="006E0691" w:rsidRDefault="003B5F60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E0691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17-300 Siemiatycze</w:t>
                                </w:r>
                              </w:p>
                              <w:p w:rsidR="00850848" w:rsidRPr="006E0691" w:rsidRDefault="00850848" w:rsidP="00850848">
                                <w:pPr>
                                  <w:pStyle w:val="Bezodstpw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50848" w:rsidRPr="006E0691" w:rsidRDefault="00850848">
                                <w:pPr>
                                  <w:pStyle w:val="Bezodstpw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:rsidR="00850848" w:rsidRDefault="00850848"/>
                        <w:p w:rsidR="001A2AC3" w:rsidRDefault="00C3687F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8092C62" wp14:editId="4C6796E4">
                                <wp:extent cx="7106920" cy="3089910"/>
                                <wp:effectExtent l="0" t="0" r="0" b="0"/>
                                <wp:docPr id="3" name="Obraz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106920" cy="30899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A2AC3" w:rsidRDefault="001B24F8">
                          <w:r>
                            <w:t>Rys: Poglądowe rozmieszczenie sprzętów w strefie siłowni Siemiatyckiej Strefy Rekreacji i Zdrowia</w:t>
                          </w:r>
                        </w:p>
                        <w:p w:rsidR="001A2AC3" w:rsidRDefault="001A2AC3"/>
                        <w:p w:rsidR="001A2AC3" w:rsidRDefault="001A2AC3"/>
                        <w:p w:rsidR="001A2AC3" w:rsidRDefault="001A2AC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1A2AC3" w:rsidRPr="006E0691" w:rsidRDefault="001A2AC3" w:rsidP="00850848">
          <w:pPr>
            <w:pStyle w:val="Bezodstpw"/>
            <w:jc w:val="right"/>
            <w:rPr>
              <w:rFonts w:ascii="Arial" w:hAnsi="Arial" w:cs="Arial"/>
              <w:b/>
              <w:sz w:val="24"/>
              <w:szCs w:val="24"/>
            </w:rPr>
          </w:pPr>
        </w:p>
        <w:p w:rsidR="00234E9B" w:rsidRPr="006E0691" w:rsidRDefault="00A56320" w:rsidP="001A2AC3">
          <w:pPr>
            <w:rPr>
              <w:rFonts w:cs="Arial"/>
              <w:b/>
              <w:szCs w:val="24"/>
              <w:highlight w:val="lightGray"/>
            </w:rPr>
          </w:pPr>
        </w:p>
      </w:sdtContent>
    </w:sdt>
    <w:p w:rsidR="00C3687F" w:rsidRPr="00F77A22" w:rsidRDefault="001B24F8" w:rsidP="00C3687F">
      <w:pPr>
        <w:pStyle w:val="Akapitzlist"/>
        <w:spacing w:after="0" w:line="276" w:lineRule="auto"/>
        <w:ind w:left="360"/>
        <w:jc w:val="right"/>
        <w:rPr>
          <w:rFonts w:cs="Arial"/>
          <w:szCs w:val="24"/>
        </w:rPr>
      </w:pPr>
      <w:r>
        <w:rPr>
          <w:rFonts w:cs="Arial"/>
          <w:szCs w:val="24"/>
        </w:rPr>
        <w:t>Siemiatycze, 3</w:t>
      </w:r>
      <w:r w:rsidR="003B6AB1">
        <w:rPr>
          <w:rFonts w:cs="Arial"/>
          <w:szCs w:val="24"/>
        </w:rPr>
        <w:t xml:space="preserve"> lipca </w:t>
      </w:r>
      <w:r w:rsidR="00C3687F" w:rsidRPr="00F77A22">
        <w:rPr>
          <w:rFonts w:cs="Arial"/>
          <w:szCs w:val="24"/>
        </w:rPr>
        <w:t xml:space="preserve">2025 r. </w:t>
      </w:r>
    </w:p>
    <w:p w:rsidR="00C3687F" w:rsidRPr="00F77A22" w:rsidRDefault="00C3687F" w:rsidP="00C3687F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  <w:bookmarkStart w:id="0" w:name="OLE_LINK1"/>
      <w:r w:rsidRPr="00F77A22">
        <w:rPr>
          <w:rFonts w:cs="Arial"/>
          <w:b/>
          <w:szCs w:val="24"/>
        </w:rPr>
        <w:t>Dotyczy postępowania: IF.271.1.2025</w:t>
      </w:r>
    </w:p>
    <w:p w:rsidR="00C3687F" w:rsidRPr="00F77A22" w:rsidRDefault="00C3687F" w:rsidP="00C3687F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  <w:r w:rsidRPr="00F77A22">
        <w:rPr>
          <w:rFonts w:cs="Arial"/>
          <w:b/>
          <w:szCs w:val="24"/>
        </w:rPr>
        <w:t>Pn. „Zwiększenie atrakcyjności sportowej i turystycznej Siemiatycz”</w:t>
      </w:r>
    </w:p>
    <w:p w:rsidR="00C3687F" w:rsidRPr="00F77A22" w:rsidRDefault="00C3687F" w:rsidP="00C3687F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</w:p>
    <w:p w:rsidR="00C3687F" w:rsidRPr="00F77A22" w:rsidRDefault="001B24F8" w:rsidP="00C3687F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  <w:highlight w:val="lightGray"/>
        </w:rPr>
      </w:pPr>
      <w:r>
        <w:rPr>
          <w:rFonts w:cs="Arial"/>
          <w:b/>
          <w:szCs w:val="24"/>
          <w:highlight w:val="lightGray"/>
        </w:rPr>
        <w:t>CZĘŚĆ NR 1</w:t>
      </w:r>
    </w:p>
    <w:p w:rsidR="00C3687F" w:rsidRPr="00F77A22" w:rsidRDefault="00C3687F" w:rsidP="00C3687F">
      <w:pPr>
        <w:spacing w:line="276" w:lineRule="auto"/>
        <w:jc w:val="center"/>
        <w:rPr>
          <w:rFonts w:cs="Arial"/>
          <w:szCs w:val="24"/>
        </w:rPr>
      </w:pPr>
      <w:r>
        <w:rPr>
          <w:rFonts w:cs="Arial"/>
          <w:b/>
          <w:szCs w:val="24"/>
        </w:rPr>
        <w:t>D</w:t>
      </w:r>
      <w:r w:rsidRPr="004D7424">
        <w:rPr>
          <w:rFonts w:cs="Arial"/>
          <w:b/>
          <w:szCs w:val="24"/>
        </w:rPr>
        <w:t>ostawa sprzętu i urządzeń sportowych stanowiących wyposażenie Siemiatyckiej Strefy Rekreacji i Zdrowia przy ul. Świętojańskiej 25 w Siemiatyczach</w:t>
      </w:r>
    </w:p>
    <w:p w:rsidR="00C3687F" w:rsidRPr="00F77A22" w:rsidRDefault="00C3687F" w:rsidP="00C3687F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</w:rPr>
      </w:pPr>
      <w:r w:rsidRPr="00F77A22">
        <w:rPr>
          <w:rFonts w:cs="Arial"/>
          <w:b/>
          <w:szCs w:val="24"/>
        </w:rPr>
        <w:t>OPIS PRZEDMIOTU ZAMÓWIENIA</w:t>
      </w:r>
    </w:p>
    <w:bookmarkEnd w:id="0"/>
    <w:p w:rsidR="00C3687F" w:rsidRPr="00F77A22" w:rsidRDefault="00C3687F" w:rsidP="00C3687F">
      <w:pPr>
        <w:pStyle w:val="Akapitzlist"/>
        <w:spacing w:after="0" w:line="276" w:lineRule="auto"/>
        <w:ind w:left="0"/>
        <w:jc w:val="center"/>
        <w:rPr>
          <w:rFonts w:cs="Arial"/>
          <w:b/>
          <w:szCs w:val="24"/>
        </w:rPr>
      </w:pPr>
    </w:p>
    <w:p w:rsidR="00C3687F" w:rsidRPr="00F77A22" w:rsidRDefault="00C3687F" w:rsidP="00C3687F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Arial"/>
          <w:szCs w:val="24"/>
        </w:rPr>
      </w:pPr>
      <w:r w:rsidRPr="00F77A22">
        <w:rPr>
          <w:rFonts w:cs="Arial"/>
          <w:szCs w:val="24"/>
        </w:rPr>
        <w:t>Przedmiot zamówienia:</w:t>
      </w:r>
    </w:p>
    <w:p w:rsidR="00C3687F" w:rsidRPr="00F77A22" w:rsidRDefault="00C3687F" w:rsidP="00C3687F">
      <w:pPr>
        <w:spacing w:line="276" w:lineRule="auto"/>
        <w:rPr>
          <w:rFonts w:cs="Arial"/>
          <w:szCs w:val="24"/>
        </w:rPr>
      </w:pPr>
      <w:r w:rsidRPr="004D7424">
        <w:rPr>
          <w:rFonts w:cs="Arial"/>
          <w:b/>
          <w:szCs w:val="24"/>
        </w:rPr>
        <w:t>Przedmiotem zamówienia jest dostawa sprzętu i urządzeń sportowych (wyprodukowanych nie wcześniej niż w 2023 roku) stanowiących wyposażenie Siemiatyckiej Strefy Rekreacji i Zdrowia przy ul. Świętojańskiej 25 w Siemiatyczach</w:t>
      </w:r>
    </w:p>
    <w:p w:rsidR="00C3687F" w:rsidRPr="004D7424" w:rsidRDefault="00B858D8" w:rsidP="00C3687F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Arial"/>
        </w:rPr>
      </w:pPr>
      <w:r>
        <w:rPr>
          <w:rFonts w:cs="Arial"/>
          <w:b/>
          <w:szCs w:val="24"/>
        </w:rPr>
        <w:t>WYKAZ SPRZĘTU:</w:t>
      </w:r>
    </w:p>
    <w:p w:rsidR="00C3687F" w:rsidRDefault="00C3687F" w:rsidP="00C3687F"/>
    <w:tbl>
      <w:tblPr>
        <w:tblW w:w="1046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404"/>
        <w:gridCol w:w="1140"/>
        <w:gridCol w:w="960"/>
      </w:tblGrid>
      <w:tr w:rsidR="00B858D8" w:rsidRPr="00B858D8" w:rsidTr="00B858D8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j.m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B858D8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58D8" w:rsidRPr="00A64201" w:rsidRDefault="00B858D8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Bieżnia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8D8" w:rsidRPr="00B858D8" w:rsidRDefault="00B858D8" w:rsidP="00B858D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58D8" w:rsidRPr="00B858D8" w:rsidRDefault="003C6321" w:rsidP="00B858D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C6321" w:rsidRPr="00B858D8" w:rsidTr="00253FFC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253FFC">
              <w:rPr>
                <w:rFonts w:cs="Arial"/>
                <w:color w:val="000000" w:themeColor="text1"/>
                <w:sz w:val="20"/>
              </w:rPr>
              <w:t xml:space="preserve">Bieżnia grawitacyjna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B858D8" w:rsidDel="003C6321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Trenażer eliptyczny (orbitrek)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Rower pionowy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Rower poziomy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5A05CE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5A05CE" w:rsidRPr="00B858D8" w:rsidTr="005C4C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5CE" w:rsidRPr="00A64201" w:rsidRDefault="005A05CE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A05CE" w:rsidRPr="00B858D8" w:rsidRDefault="005A05CE" w:rsidP="005A05C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A05CE">
              <w:rPr>
                <w:rFonts w:eastAsia="Times New Roman" w:cs="Arial"/>
                <w:sz w:val="20"/>
                <w:szCs w:val="20"/>
                <w:lang w:eastAsia="pl-PL"/>
              </w:rPr>
              <w:t>Symulator schodów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5CE" w:rsidRPr="00B858D8" w:rsidRDefault="005A05CE" w:rsidP="005A05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05CE" w:rsidRPr="00B858D8" w:rsidDel="003C6321" w:rsidRDefault="005A05CE" w:rsidP="005A05C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A64201" w:rsidRPr="00B858D8" w:rsidTr="005C4C2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4201" w:rsidRPr="00A64201" w:rsidRDefault="00A6420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64201" w:rsidRPr="005A05CE" w:rsidRDefault="00A64201" w:rsidP="00A6420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A64201">
              <w:rPr>
                <w:rFonts w:eastAsia="Times New Roman" w:cs="Arial"/>
                <w:sz w:val="20"/>
                <w:szCs w:val="20"/>
                <w:lang w:eastAsia="pl-PL"/>
              </w:rPr>
              <w:t>Maszyna na mięśnie proste brzucha  w pozycji siedzącej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4201" w:rsidRPr="00B858D8" w:rsidRDefault="00A64201" w:rsidP="00A6420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4201" w:rsidRPr="00B858D8" w:rsidDel="003C6321" w:rsidRDefault="00A64201" w:rsidP="00A6420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Maszyna ze stosem sztabkowym do treningu mięśni klatki piersiowej - wyciskanie w poziomie w pozycji siedzącej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253FF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butterfly ze stosem sztabkowym do treningu klatki piersiowej i tylnych części mięśni naramiennych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253FFC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ze stosem sztabkowym do wyciskania na barki - wyciskanie nad głowę w pozycji siedzącej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253FFC" w:rsidRDefault="00A6420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A6420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Wielofunkcyjna pięciostanowiskowa maszyna wyciągowa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253FFC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3FFC" w:rsidRPr="00A64201" w:rsidRDefault="00253FFC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53FFC" w:rsidRPr="00A64201" w:rsidRDefault="00253FFC" w:rsidP="00253FFC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A64201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ze stosem sztabkowym do wyprostów nóg na mięśnie czworogłowe uda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FC" w:rsidRPr="00B858D8" w:rsidRDefault="00253FFC" w:rsidP="00253FF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FFC" w:rsidRPr="00B858D8" w:rsidRDefault="00253FFC" w:rsidP="00253FF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A64201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ze stosem sztabkowym do uginania nóg w pozycji leżącej na mięśnie dwugłowe uda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A64201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ze stosem sztabkowym do uginania nóg w pozycji siedzącej na mięśnie dwugłowe uda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ze stosem sztabkowym do treningu przywodzicieli i odwodzicieli uda 2w1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3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smitha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na obciążenie talerzowe - wyciskanie nogami leżąc pod kątem 45 stopni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Ławka pozioma ze zintegrowanymi stojakami do wyciskania sztangi leząc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Ławka skośna dodatnia ze zintegrowanymi stojakami do wyciskania sztangi leząc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3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E645F7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Ławka do podciągania, do ćwiczeń miesni brzucha i pompek na porączach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E645F7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Ławka do ćwiczeń bicepsa - "Modlitewnik"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Ławeczka wolnostojąca z regulacją kąta oparcia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Ławeczka wolnostojąca pozioma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Ławeczka rzymska do ćwiczenia mięśni grzbietu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Stojaki na hantle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Zestaw hantli od 2 do 40 kg: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hantle o wadze 42,5 kg (para)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hantle o wadze 45 kg (para)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hantle o wadze 47,5 kg (para)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Komplet talerzy olimpijskich gumowanych 1,25 kg - 20 kg (łączna waga kompletu to 1675kg)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Talerz olimpijskie bumper 5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Talerz olimpijskie bumper 10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Talerz olimpijskie bumper 15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Talerz olimpijskie bumper 20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Talerz olimpijskie bumper 25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Gryf olimpijski prosty + zaciski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Gryf olimpijski prosty + zaciski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Sztanga łamana na biceps i triceps na talerze olimpijskie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E645F7" w:rsidRDefault="00E645F7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na mięśnie klatki piersiowej - wyciskanie pod kątem do góry, siedząc w szerokim uchwycie z naciskiem na dolna część klatki piersiowej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Pomost ciężarowy / crossfitowy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Podwójna klatka / rack do przysiadów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Trap bar - obciążenie talerze olimpijskie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Safety squat bar - obciążenie talerze olimpijskie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Sztanga łamana chwyt neutralny / młotkowy - obciążenie talerze olimpijskie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Ergometr wioślarski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Ławka zawodnicza pozioma do wyciskania leżąc wraz z ramionami zabezpieczającymi.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3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Zestaw obciążeń kalibrowanych i certyfikowany do trójboju siłowego.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Stojak na obciążenia do trójboju siłowego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253FFC" w:rsidRDefault="003C6321" w:rsidP="003C6321">
            <w:pPr>
              <w:spacing w:after="0" w:line="240" w:lineRule="auto"/>
              <w:rPr>
                <w:rFonts w:eastAsia="Times New Roman" w:cs="Arial"/>
                <w:color w:val="FF0000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Zestaw piłek typu slam ball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Zestaw gum oporowych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Maszyna na obciążenie talerzowe - hip thrust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3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E645F7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E645F7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Zestaw odważników typu kettlebell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7750F5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Komplet skrzyń do ćwiczeń plyometrycznych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Rower powietrzny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hantle małe 1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hantle małe 2 kg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Stacja bokserska z workiem treningowym, gruszką bokserską oraz zestawem rękawic bokserskich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Interaktywna ścienna tarcza bokserska z funkcją muzyczną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3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Wolnostojący stojak do treningu ze sztangą z regulacją wysokości haków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Maszyna dźwigniowa do ćwiczenia tricepsów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Materac twardy do ćwiczeń - 200x120x5 cm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Materace średnie do ćwiczeń funkcjonalnych i siłowych  8 cm.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Materace grube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Ścieżka akrobatyczna do ćwiczeń 500x100x10 cm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Mata fitness klubowa z otworami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23</w:t>
            </w:r>
          </w:p>
        </w:tc>
      </w:tr>
      <w:tr w:rsidR="003C6321" w:rsidRPr="00B858D8" w:rsidTr="00A6420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step do aerobiku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23</w:t>
            </w:r>
          </w:p>
        </w:tc>
      </w:tr>
      <w:tr w:rsidR="003C6321" w:rsidRPr="00B858D8" w:rsidTr="00A64201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>Piłki gimnastyczne (fitness, joga, pilates, rehabilitacja) Średnica: min. 55 cm – max. 75 cm.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</w:tr>
      <w:tr w:rsidR="003C6321" w:rsidRPr="00B858D8" w:rsidTr="00A64201">
        <w:trPr>
          <w:trHeight w:val="3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321" w:rsidRPr="00A64201" w:rsidRDefault="003C6321" w:rsidP="00A642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503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7750F5" w:rsidRDefault="003C6321" w:rsidP="003C632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</w:pPr>
            <w:r w:rsidRPr="007750F5">
              <w:rPr>
                <w:rFonts w:eastAsia="Times New Roman" w:cs="Arial"/>
                <w:color w:val="000000" w:themeColor="text1"/>
                <w:sz w:val="20"/>
                <w:szCs w:val="20"/>
                <w:lang w:eastAsia="pl-PL"/>
              </w:rPr>
              <w:t xml:space="preserve">System podwieszanych taśm treningowych TRX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komplet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321" w:rsidRPr="00B858D8" w:rsidRDefault="003C6321" w:rsidP="003C632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858D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C3687F" w:rsidRDefault="00C3687F" w:rsidP="00C3687F"/>
    <w:p w:rsidR="00B858D8" w:rsidRDefault="00B858D8" w:rsidP="00C3687F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Specyfikacja sprzętu znajduje się w załączniku nr 1</w:t>
      </w:r>
      <w:r w:rsidR="001B24F8">
        <w:rPr>
          <w:rFonts w:cs="Arial"/>
          <w:szCs w:val="24"/>
        </w:rPr>
        <w:t xml:space="preserve"> do tego pliku</w:t>
      </w:r>
    </w:p>
    <w:p w:rsidR="003C6321" w:rsidRDefault="003C6321" w:rsidP="00C3687F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Umiejscowienie urządzeń na rysunkach ma charakter poglądowy.</w:t>
      </w:r>
    </w:p>
    <w:p w:rsidR="00C3687F" w:rsidRDefault="00C3687F" w:rsidP="00C3687F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cs="Arial"/>
          <w:szCs w:val="24"/>
        </w:rPr>
      </w:pPr>
      <w:r w:rsidRPr="00F77A22">
        <w:rPr>
          <w:rFonts w:cs="Arial"/>
          <w:szCs w:val="24"/>
        </w:rPr>
        <w:t>Wymagania jakościowe i dodatkowe:</w:t>
      </w:r>
    </w:p>
    <w:p w:rsidR="00C3687F" w:rsidRPr="00235883" w:rsidRDefault="00B858D8" w:rsidP="00C3687F">
      <w:pPr>
        <w:pStyle w:val="Akapitzlist"/>
        <w:numPr>
          <w:ilvl w:val="0"/>
          <w:numId w:val="25"/>
        </w:numPr>
        <w:spacing w:line="276" w:lineRule="auto"/>
        <w:jc w:val="both"/>
      </w:pPr>
      <w:r>
        <w:t xml:space="preserve">W zakresie zamówienia znajdują się: </w:t>
      </w:r>
      <w:r w:rsidR="00C3687F">
        <w:t>U</w:t>
      </w:r>
      <w:r w:rsidR="00C3687F" w:rsidRPr="00235883">
        <w:t>bezpieczenie na czas transportu, załadunek, rozładunek, wniesienie do pomieszczeń wskazanych prze</w:t>
      </w:r>
      <w:r w:rsidR="00C3687F">
        <w:t>z przedstawicieli Zamawiającego</w:t>
      </w:r>
      <w:r w:rsidR="00C3687F" w:rsidRPr="00235883">
        <w:t xml:space="preserve"> oraz wszelkie inne usługi dodatkowe niezbędne do prawidłowego wykonania zadania takich jak instalacja, uruchomienie pomoc techniczna oraz serwis gwarancyjny.</w:t>
      </w:r>
    </w:p>
    <w:p w:rsidR="00C3687F" w:rsidRPr="00235883" w:rsidRDefault="00C3687F" w:rsidP="00C3687F">
      <w:pPr>
        <w:pStyle w:val="Akapitzlist"/>
        <w:numPr>
          <w:ilvl w:val="0"/>
          <w:numId w:val="25"/>
        </w:numPr>
        <w:spacing w:line="276" w:lineRule="auto"/>
        <w:jc w:val="both"/>
      </w:pPr>
      <w:r>
        <w:t>S</w:t>
      </w:r>
      <w:r w:rsidRPr="00235883">
        <w:t xml:space="preserve">przęt </w:t>
      </w:r>
      <w:r>
        <w:t>musi być</w:t>
      </w:r>
      <w:r w:rsidRPr="00235883">
        <w:t xml:space="preserve"> fabrycznie nowy, nieposiadający wad fizycznych i prawnych i zgodny z opisem.</w:t>
      </w:r>
    </w:p>
    <w:p w:rsidR="00C3687F" w:rsidRDefault="00C3687F" w:rsidP="00C3687F">
      <w:pPr>
        <w:pStyle w:val="Akapitzlist"/>
        <w:numPr>
          <w:ilvl w:val="0"/>
          <w:numId w:val="25"/>
        </w:numPr>
        <w:spacing w:line="276" w:lineRule="auto"/>
        <w:jc w:val="both"/>
      </w:pPr>
      <w:r>
        <w:t>Sprzęt musi być utrzyman</w:t>
      </w:r>
      <w:r w:rsidR="00B858D8">
        <w:t>y</w:t>
      </w:r>
      <w:r>
        <w:t xml:space="preserve"> w jednej kolorystyce, w celu uzyskania jednolitego wyglądu</w:t>
      </w:r>
      <w:r w:rsidR="00B858D8">
        <w:t xml:space="preserve"> – sprzęty w kolorze czarnym</w:t>
      </w:r>
      <w:r>
        <w:t>.</w:t>
      </w:r>
    </w:p>
    <w:p w:rsidR="00C3687F" w:rsidRDefault="00C3687F" w:rsidP="00C3687F">
      <w:pPr>
        <w:pStyle w:val="Akapitzlist"/>
        <w:numPr>
          <w:ilvl w:val="0"/>
          <w:numId w:val="25"/>
        </w:numPr>
        <w:spacing w:line="276" w:lineRule="auto"/>
        <w:jc w:val="both"/>
      </w:pPr>
      <w:r>
        <w:t>Wykonawca przed dostawą ma dostarczyć do Zamawiającego karty katalogowe urządzeń objętych zamówieniem</w:t>
      </w:r>
      <w:r w:rsidR="00B858D8">
        <w:t xml:space="preserve"> i uzgodnić kolory</w:t>
      </w:r>
      <w:r>
        <w:t>.</w:t>
      </w:r>
    </w:p>
    <w:p w:rsidR="00C3687F" w:rsidRDefault="00C3687F" w:rsidP="00C3687F">
      <w:pPr>
        <w:pStyle w:val="Akapitzlist"/>
        <w:numPr>
          <w:ilvl w:val="0"/>
          <w:numId w:val="25"/>
        </w:numPr>
        <w:spacing w:line="276" w:lineRule="auto"/>
        <w:jc w:val="both"/>
      </w:pPr>
      <w:r>
        <w:t>Wykonawc</w:t>
      </w:r>
      <w:r w:rsidR="00B858D8">
        <w:t>a</w:t>
      </w:r>
      <w:r>
        <w:t xml:space="preserve"> zobowiązany jest </w:t>
      </w:r>
      <w:r w:rsidRPr="00235883">
        <w:t>dostarcz</w:t>
      </w:r>
      <w:r>
        <w:t>yć wyłącznie sprzęt</w:t>
      </w:r>
      <w:r w:rsidRPr="00235883">
        <w:t xml:space="preserve"> i urządz</w:t>
      </w:r>
      <w:r>
        <w:t>enia</w:t>
      </w:r>
      <w:r w:rsidRPr="00235883">
        <w:t xml:space="preserve"> posiadając</w:t>
      </w:r>
      <w:r>
        <w:t>e</w:t>
      </w:r>
      <w:r w:rsidRPr="00235883">
        <w:t xml:space="preserve"> certyfikaty, atesty, świadectwa dopuszczenia do użytkowania itp. lub inną dokumentację potwierdzającą, że oferowany sprzęt i urządzenia spełniają wymagane prawem przepisy i normy. Wszystkie dokumenty muszą być sporządzone w języku polskim.</w:t>
      </w:r>
    </w:p>
    <w:p w:rsidR="00C3687F" w:rsidRDefault="00C3687F" w:rsidP="00C3687F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Wszystkie usługi serwisowe muszą być świadczone w systemie door-to-door .</w:t>
      </w:r>
    </w:p>
    <w:p w:rsidR="00D01705" w:rsidRDefault="005C0CFE" w:rsidP="00C3687F">
      <w:pPr>
        <w:pStyle w:val="Akapitzlist"/>
        <w:numPr>
          <w:ilvl w:val="0"/>
          <w:numId w:val="25"/>
        </w:numPr>
        <w:spacing w:after="0" w:line="276" w:lineRule="auto"/>
        <w:jc w:val="both"/>
      </w:pPr>
      <w:r w:rsidRPr="005C0CFE">
        <w:t>Wykonawca zobowiązuje się w okresie obowiązywania gwarancji do usunięcia awarii wyposażenia siłowni w przeciągu maksymalnie 72 godzin od momentu otrzymania wezwania do usunięcia awarii od Zamawiającego</w:t>
      </w:r>
    </w:p>
    <w:p w:rsidR="00C3687F" w:rsidRPr="00C318A6" w:rsidRDefault="00C3687F" w:rsidP="00C3687F">
      <w:pPr>
        <w:pStyle w:val="Akapitzlist"/>
        <w:numPr>
          <w:ilvl w:val="0"/>
          <w:numId w:val="25"/>
        </w:numPr>
        <w:jc w:val="both"/>
      </w:pPr>
      <w:r w:rsidRPr="00C318A6">
        <w:t>Należy zaoferować sprzęt klasy "S" - do użytku profesjonalnego lub komercyjnego.</w:t>
      </w:r>
    </w:p>
    <w:p w:rsidR="00C3687F" w:rsidRPr="00C318A6" w:rsidRDefault="00C3687F" w:rsidP="00C3687F">
      <w:pPr>
        <w:pStyle w:val="Akapitzlist"/>
        <w:numPr>
          <w:ilvl w:val="0"/>
          <w:numId w:val="25"/>
        </w:numPr>
        <w:jc w:val="both"/>
      </w:pPr>
      <w:r w:rsidRPr="00C318A6">
        <w:t>Każde urządzenie powinno mieć jasne instrukcje obsługi i ostrzeżenia dotyczące bezpieczeństwa.</w:t>
      </w:r>
    </w:p>
    <w:p w:rsidR="00C3687F" w:rsidRPr="008B5EE9" w:rsidRDefault="00C3687F" w:rsidP="00C3687F">
      <w:pPr>
        <w:pStyle w:val="Akapitzlist"/>
        <w:numPr>
          <w:ilvl w:val="0"/>
          <w:numId w:val="25"/>
        </w:numPr>
      </w:pPr>
      <w:r w:rsidRPr="008B5EE9">
        <w:t>Stacjonarny sprzęt treningowy powinien: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być stabilny podczas testów;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zaokrąglone lub zabezpieczone w inny sposób krawędzie i naroża elementów dostępnych;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zaślepione zakończenia rur;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nie posiadać wewnątrz obszaru dostępu miejsc zagrożonych zgnieceniem, ścięciem i posiadać odpowiednie ograniczniki ruchu;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ograniczony do wymaganego przez ćwiczenie zakres ruchu obciążników;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obciążniki, które, jeżeli nie wykonują zamierzonego ruchu, powinny powracać do położenia spoczynkowego;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lastRenderedPageBreak/>
        <w:t>posiadać środki dodatkowe do regulacji lub np. pedał lub dźwignię w celu osiągnięcia pozycji początku/końca ćwiczenia;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liny, pasy, łańcuchy posiadające wystarczającą wytrzymałość, posiadać prowadnice zapobiegające zsunięciu lub odczepieniu, a także zapobiegające wciągnięciu lub uwięzieniu ciała użytkownika;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wielkość i kształt kół linowych powinny być zgodne z odpowiednimi wymaganiami producenta dotyczącymi średnicy i rowka liny, pasa lub łańcucha oraz ich wymaganej trwałości;</w:t>
      </w:r>
    </w:p>
    <w:p w:rsidR="00C3687F" w:rsidRDefault="00C3687F" w:rsidP="00C3687F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>mieć wyraźnie oznakowane uchwyty na ręce i posiadać powierzchnię zabezpieczoną przed ślizganiem się, a uchwyty obrotowe powinny być wyposażone w mechaniczne urządzenia blokujące;</w:t>
      </w:r>
    </w:p>
    <w:p w:rsidR="00C3687F" w:rsidRDefault="00B858D8" w:rsidP="00C3687F">
      <w:pPr>
        <w:pStyle w:val="Akapitzlist"/>
        <w:numPr>
          <w:ilvl w:val="0"/>
          <w:numId w:val="25"/>
        </w:numPr>
        <w:spacing w:after="0" w:line="276" w:lineRule="auto"/>
        <w:jc w:val="both"/>
      </w:pPr>
      <w:bookmarkStart w:id="1" w:name="_Hlk202355058"/>
      <w:r>
        <w:t>Oferowane sprzęty</w:t>
      </w:r>
      <w:r w:rsidR="00C3687F">
        <w:t xml:space="preserve"> powinny spełniać wymagania norm:</w:t>
      </w:r>
    </w:p>
    <w:bookmarkEnd w:id="1"/>
    <w:p w:rsidR="005E155E" w:rsidRDefault="005E155E" w:rsidP="005E155E">
      <w:pPr>
        <w:pStyle w:val="Akapitzlist"/>
        <w:numPr>
          <w:ilvl w:val="1"/>
          <w:numId w:val="25"/>
        </w:numPr>
        <w:jc w:val="both"/>
      </w:pPr>
      <w:r>
        <w:t>PN-EN ISO 20957- 1(lub równoważną) - określająca podstawowe wymagania bezpieczeństwa oraz metody testowania wszystkich urządzeń treningowych, które podczas użytkowania pozostają nieruchome</w:t>
      </w:r>
    </w:p>
    <w:p w:rsidR="005E155E" w:rsidRDefault="005E155E" w:rsidP="005E155E">
      <w:pPr>
        <w:pStyle w:val="Akapitzlist"/>
        <w:numPr>
          <w:ilvl w:val="1"/>
          <w:numId w:val="25"/>
        </w:numPr>
        <w:jc w:val="both"/>
      </w:pPr>
      <w:r>
        <w:t>normę PN-EN 957 (lub równoważną) - Każde urządzenie musi spełniać odpowiednią normę właściwą dla swojego typu zgodnego z norma, tj.:</w:t>
      </w:r>
    </w:p>
    <w:p w:rsidR="005E155E" w:rsidRDefault="005E155E" w:rsidP="00253FFC">
      <w:pPr>
        <w:pStyle w:val="Akapitzlist"/>
        <w:ind w:left="1440"/>
        <w:jc w:val="both"/>
      </w:pPr>
      <w:r>
        <w:t xml:space="preserve">Część 1: Ogólne wymagania bezpieczeństwa i metody badań </w:t>
      </w:r>
    </w:p>
    <w:p w:rsidR="005E155E" w:rsidRDefault="005E155E" w:rsidP="00253FFC">
      <w:pPr>
        <w:pStyle w:val="Akapitzlist"/>
        <w:ind w:left="1440"/>
        <w:jc w:val="both"/>
      </w:pPr>
      <w:r>
        <w:t>Część 2: Sprzęt do treningu siłowego oraz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4: Ławy do ćwiczeń siłowych,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5: Rowery treningowe stacjonarne i urządzenia korbowe do treningu ramion, dodatkowe,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6: Bieżnie ruchome,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7: Trenażery wioślarskie,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8: Pedałowe symulatory chodu, symulatory wchodzenia na schody i pedałowe symulatory wspinania się –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9: Trenażery eliptyczne, dodatkowe szczególne wymagania bezpieczeństwa i metody badań</w:t>
      </w:r>
    </w:p>
    <w:p w:rsidR="005E155E" w:rsidRDefault="005E155E" w:rsidP="00253FFC">
      <w:pPr>
        <w:pStyle w:val="Akapitzlist"/>
        <w:ind w:left="1440"/>
        <w:jc w:val="both"/>
      </w:pPr>
      <w:r>
        <w:t>Część 10: Rowery treningowe ze stałym kołem lub bez wolnego biegu, dodatkowe szczególne wymagania bezpieczeństwa i metody badań</w:t>
      </w:r>
    </w:p>
    <w:p w:rsidR="005E155E" w:rsidRDefault="005E155E" w:rsidP="005E155E">
      <w:pPr>
        <w:pStyle w:val="Akapitzlist"/>
        <w:numPr>
          <w:ilvl w:val="1"/>
          <w:numId w:val="25"/>
        </w:numPr>
        <w:jc w:val="both"/>
      </w:pPr>
      <w:r>
        <w:t>PN-EN 12503 (lub równoważną) - dotycząca mat sportowych</w:t>
      </w:r>
    </w:p>
    <w:p w:rsidR="00B858D8" w:rsidRDefault="00B858D8" w:rsidP="00C3687F">
      <w:pPr>
        <w:pStyle w:val="Akapitzlist"/>
        <w:numPr>
          <w:ilvl w:val="0"/>
          <w:numId w:val="25"/>
        </w:numPr>
        <w:jc w:val="both"/>
      </w:pPr>
      <w:r w:rsidRPr="00B858D8">
        <w:t xml:space="preserve">Oferowane sprzęty powinny </w:t>
      </w:r>
      <w:r>
        <w:t>posiadać</w:t>
      </w:r>
      <w:r w:rsidR="00C3687F">
        <w:t xml:space="preserve"> certyfikaty:</w:t>
      </w:r>
    </w:p>
    <w:p w:rsidR="00B858D8" w:rsidRDefault="00C3687F" w:rsidP="00C3687F">
      <w:pPr>
        <w:pStyle w:val="Akapitzlist"/>
        <w:numPr>
          <w:ilvl w:val="1"/>
          <w:numId w:val="25"/>
        </w:numPr>
        <w:jc w:val="both"/>
      </w:pPr>
      <w:r>
        <w:t>CE – potwierdzający zgodność z przepisami UE dotyczą</w:t>
      </w:r>
      <w:r w:rsidR="00B858D8">
        <w:t>cymi bezpieczeństwa użytkowania,</w:t>
      </w:r>
    </w:p>
    <w:p w:rsidR="00B858D8" w:rsidRDefault="00C3687F" w:rsidP="00C3687F">
      <w:pPr>
        <w:pStyle w:val="Akapitzlist"/>
        <w:numPr>
          <w:ilvl w:val="1"/>
          <w:numId w:val="25"/>
        </w:numPr>
        <w:jc w:val="both"/>
      </w:pPr>
      <w:r>
        <w:t>RoHS – potwierdzający brak szkod</w:t>
      </w:r>
      <w:r w:rsidR="00B858D8">
        <w:t>liwych substancji w materiałach</w:t>
      </w:r>
    </w:p>
    <w:p w:rsidR="00B858D8" w:rsidRDefault="00C3687F" w:rsidP="00B858D8">
      <w:pPr>
        <w:pStyle w:val="Akapitzlist"/>
        <w:numPr>
          <w:ilvl w:val="1"/>
          <w:numId w:val="25"/>
        </w:numPr>
        <w:jc w:val="both"/>
      </w:pPr>
      <w:r>
        <w:t>TÜV lub GS – certyfikat bezpieczeństwa mechanicznego (jeśli dotyczy),</w:t>
      </w:r>
    </w:p>
    <w:p w:rsidR="003B6AB1" w:rsidRDefault="00C3687F" w:rsidP="003B6AB1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 xml:space="preserve">Dopuszcza zastosowanie rozwiązań równoważnych, przez które należy rozumieć produkty o parametrach nie gorszych od przedstawionych w opisie </w:t>
      </w:r>
      <w:r>
        <w:lastRenderedPageBreak/>
        <w:t>przedmiotu zamówienia i spełniające, co najmniej w tym samym zakresie, wymagania Zamawiającego.</w:t>
      </w:r>
    </w:p>
    <w:p w:rsidR="003B6AB1" w:rsidRDefault="003B6AB1" w:rsidP="003B6AB1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W zakresie</w:t>
      </w:r>
      <w:r w:rsidR="001B24F8">
        <w:t xml:space="preserve"> zamówienia</w:t>
      </w:r>
      <w:r>
        <w:t>:</w:t>
      </w:r>
    </w:p>
    <w:p w:rsidR="003B6AB1" w:rsidRPr="003B6AB1" w:rsidRDefault="00C3687F" w:rsidP="003B6AB1">
      <w:pPr>
        <w:pStyle w:val="Akapitzlist"/>
        <w:numPr>
          <w:ilvl w:val="1"/>
          <w:numId w:val="25"/>
        </w:numPr>
        <w:spacing w:after="0" w:line="276" w:lineRule="auto"/>
        <w:jc w:val="both"/>
      </w:pPr>
      <w:r w:rsidRPr="003B6AB1">
        <w:rPr>
          <w:rFonts w:cs="Arial"/>
          <w:szCs w:val="24"/>
        </w:rPr>
        <w:t>szkolenie personelu z zakresu użytkowania urządzeń – bezpłatne, w miejscu użytkowania,</w:t>
      </w:r>
    </w:p>
    <w:p w:rsidR="003B6AB1" w:rsidRPr="003B6AB1" w:rsidRDefault="00C3687F" w:rsidP="003B6AB1">
      <w:pPr>
        <w:pStyle w:val="Akapitzlist"/>
        <w:numPr>
          <w:ilvl w:val="1"/>
          <w:numId w:val="25"/>
        </w:numPr>
        <w:spacing w:after="0" w:line="276" w:lineRule="auto"/>
        <w:jc w:val="both"/>
      </w:pPr>
      <w:r w:rsidRPr="003B6AB1">
        <w:rPr>
          <w:rFonts w:cs="Arial"/>
          <w:szCs w:val="24"/>
        </w:rPr>
        <w:t>dostawa z wniesieniem i montażem,</w:t>
      </w:r>
    </w:p>
    <w:p w:rsidR="003B6AB1" w:rsidRPr="003B6AB1" w:rsidRDefault="00C3687F" w:rsidP="003B6AB1">
      <w:pPr>
        <w:pStyle w:val="Akapitzlist"/>
        <w:numPr>
          <w:ilvl w:val="1"/>
          <w:numId w:val="25"/>
        </w:numPr>
        <w:spacing w:after="0" w:line="276" w:lineRule="auto"/>
        <w:jc w:val="both"/>
      </w:pPr>
      <w:r w:rsidRPr="003B6AB1">
        <w:rPr>
          <w:rFonts w:cs="Arial"/>
          <w:szCs w:val="24"/>
        </w:rPr>
        <w:t>zapewnienie serwisu gwarancyjnego i pogwarancyjnego na terenie Polski (preferowana obsługa regionalna),</w:t>
      </w:r>
    </w:p>
    <w:p w:rsidR="003B6AB1" w:rsidRDefault="001B24F8" w:rsidP="003B6AB1">
      <w:pPr>
        <w:pStyle w:val="Akapitzlist"/>
        <w:numPr>
          <w:ilvl w:val="1"/>
          <w:numId w:val="25"/>
        </w:numPr>
        <w:spacing w:after="0" w:line="276" w:lineRule="auto"/>
        <w:jc w:val="both"/>
      </w:pPr>
      <w:r>
        <w:t xml:space="preserve">Warunki gwarancji i serwisu wskazano w projekcie umowy – zał. nr 5.1. do SWZ </w:t>
      </w:r>
    </w:p>
    <w:p w:rsidR="00C3687F" w:rsidRPr="005E4399" w:rsidRDefault="003B6AB1" w:rsidP="003B6AB1">
      <w:pPr>
        <w:pStyle w:val="Akapitzlist"/>
        <w:numPr>
          <w:ilvl w:val="0"/>
          <w:numId w:val="25"/>
        </w:numPr>
        <w:spacing w:after="0" w:line="276" w:lineRule="auto"/>
        <w:jc w:val="both"/>
      </w:pPr>
      <w:r>
        <w:t>Załącznik: Specyfikacja sprzętu</w:t>
      </w:r>
      <w:bookmarkStart w:id="2" w:name="_GoBack"/>
      <w:bookmarkEnd w:id="2"/>
    </w:p>
    <w:p w:rsidR="00DF125A" w:rsidRPr="006E0691" w:rsidRDefault="00DF125A" w:rsidP="00C3687F">
      <w:pPr>
        <w:pStyle w:val="Akapitzlist"/>
        <w:spacing w:after="0" w:line="276" w:lineRule="auto"/>
        <w:ind w:left="360"/>
        <w:rPr>
          <w:rFonts w:cs="Arial"/>
          <w:b/>
          <w:szCs w:val="24"/>
        </w:rPr>
      </w:pPr>
    </w:p>
    <w:sectPr w:rsidR="00DF125A" w:rsidRPr="006E0691" w:rsidSect="00850848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320" w:rsidRDefault="00A56320" w:rsidP="003B5F60">
      <w:pPr>
        <w:spacing w:after="0" w:line="240" w:lineRule="auto"/>
      </w:pPr>
      <w:r>
        <w:separator/>
      </w:r>
    </w:p>
  </w:endnote>
  <w:endnote w:type="continuationSeparator" w:id="0">
    <w:p w:rsidR="00A56320" w:rsidRDefault="00A56320" w:rsidP="003B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195900"/>
      <w:docPartObj>
        <w:docPartGallery w:val="Page Numbers (Bottom of Page)"/>
        <w:docPartUnique/>
      </w:docPartObj>
    </w:sdtPr>
    <w:sdtEndPr/>
    <w:sdtContent>
      <w:p w:rsidR="001A2AC3" w:rsidRDefault="001A2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4F8">
          <w:rPr>
            <w:noProof/>
          </w:rPr>
          <w:t>5</w:t>
        </w:r>
        <w:r>
          <w:fldChar w:fldCharType="end"/>
        </w:r>
      </w:p>
    </w:sdtContent>
  </w:sdt>
  <w:p w:rsidR="001A2AC3" w:rsidRDefault="001A2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320" w:rsidRDefault="00A56320" w:rsidP="003B5F60">
      <w:pPr>
        <w:spacing w:after="0" w:line="240" w:lineRule="auto"/>
      </w:pPr>
      <w:r>
        <w:separator/>
      </w:r>
    </w:p>
  </w:footnote>
  <w:footnote w:type="continuationSeparator" w:id="0">
    <w:p w:rsidR="00A56320" w:rsidRDefault="00A56320" w:rsidP="003B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F60" w:rsidRDefault="006E0691" w:rsidP="006E0691">
    <w:pPr>
      <w:pStyle w:val="Nagwek"/>
      <w:tabs>
        <w:tab w:val="left" w:pos="5653"/>
        <w:tab w:val="right" w:pos="7507"/>
      </w:tabs>
    </w:pPr>
    <w:r>
      <w:tab/>
    </w:r>
    <w:r>
      <w:tab/>
    </w:r>
    <w:r>
      <w:tab/>
    </w:r>
    <w:r w:rsidR="003B5F60" w:rsidRPr="009C5B35">
      <w:rPr>
        <w:rFonts w:cstheme="majorHAnsi"/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17C24ECF" wp14:editId="1456271B">
          <wp:simplePos x="0" y="0"/>
          <wp:positionH relativeFrom="column">
            <wp:posOffset>3810</wp:posOffset>
          </wp:positionH>
          <wp:positionV relativeFrom="paragraph">
            <wp:posOffset>-226695</wp:posOffset>
          </wp:positionV>
          <wp:extent cx="903605" cy="531495"/>
          <wp:effectExtent l="0" t="0" r="0" b="1905"/>
          <wp:wrapThrough wrapText="bothSides">
            <wp:wrapPolygon edited="0">
              <wp:start x="5920" y="0"/>
              <wp:lineTo x="0" y="9290"/>
              <wp:lineTo x="0" y="14710"/>
              <wp:lineTo x="911" y="20903"/>
              <wp:lineTo x="12295" y="20903"/>
              <wp:lineTo x="20947" y="20903"/>
              <wp:lineTo x="20947" y="14710"/>
              <wp:lineTo x="15938" y="12387"/>
              <wp:lineTo x="7741" y="0"/>
              <wp:lineTo x="5920" y="0"/>
            </wp:wrapPolygon>
          </wp:wrapThrough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3605" cy="53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691" w:rsidRDefault="006E0691">
    <w:pPr>
      <w:pStyle w:val="Nagwek"/>
    </w:pPr>
    <w:r w:rsidRPr="009C5B35">
      <w:rPr>
        <w:rFonts w:cstheme="majorHAnsi"/>
        <w:noProof/>
        <w:sz w:val="32"/>
        <w:szCs w:val="32"/>
        <w:lang w:eastAsia="pl-PL"/>
      </w:rPr>
      <w:drawing>
        <wp:anchor distT="0" distB="0" distL="114300" distR="114300" simplePos="0" relativeHeight="251661312" behindDoc="0" locked="0" layoutInCell="1" allowOverlap="1" wp14:anchorId="6E92B589" wp14:editId="0D4B4681">
          <wp:simplePos x="0" y="0"/>
          <wp:positionH relativeFrom="column">
            <wp:posOffset>0</wp:posOffset>
          </wp:positionH>
          <wp:positionV relativeFrom="paragraph">
            <wp:posOffset>188595</wp:posOffset>
          </wp:positionV>
          <wp:extent cx="903605" cy="531495"/>
          <wp:effectExtent l="0" t="0" r="0" b="1905"/>
          <wp:wrapThrough wrapText="bothSides">
            <wp:wrapPolygon edited="0">
              <wp:start x="5920" y="0"/>
              <wp:lineTo x="0" y="9290"/>
              <wp:lineTo x="0" y="14710"/>
              <wp:lineTo x="911" y="20903"/>
              <wp:lineTo x="12295" y="20903"/>
              <wp:lineTo x="20947" y="20903"/>
              <wp:lineTo x="20947" y="14710"/>
              <wp:lineTo x="15938" y="12387"/>
              <wp:lineTo x="7741" y="0"/>
              <wp:lineTo x="5920" y="0"/>
            </wp:wrapPolygon>
          </wp:wrapThrough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3605" cy="53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8084566"/>
    <w:lvl w:ilvl="0">
      <w:numFmt w:val="bullet"/>
      <w:lvlText w:val="*"/>
      <w:lvlJc w:val="left"/>
    </w:lvl>
  </w:abstractNum>
  <w:abstractNum w:abstractNumId="1" w15:restartNumberingAfterBreak="0">
    <w:nsid w:val="0127649E"/>
    <w:multiLevelType w:val="hybridMultilevel"/>
    <w:tmpl w:val="BA7A90F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C7661"/>
    <w:multiLevelType w:val="multilevel"/>
    <w:tmpl w:val="5B3A3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1D46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634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F0509F"/>
    <w:multiLevelType w:val="hybridMultilevel"/>
    <w:tmpl w:val="FA7CF322"/>
    <w:lvl w:ilvl="0" w:tplc="19624E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DAD41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C0E1B"/>
    <w:multiLevelType w:val="multilevel"/>
    <w:tmpl w:val="825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603BCC"/>
    <w:multiLevelType w:val="multilevel"/>
    <w:tmpl w:val="9B8E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977E5A"/>
    <w:multiLevelType w:val="hybridMultilevel"/>
    <w:tmpl w:val="DB328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36290"/>
    <w:multiLevelType w:val="hybridMultilevel"/>
    <w:tmpl w:val="63ECD8D4"/>
    <w:lvl w:ilvl="0" w:tplc="09E27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E66EBF3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6D82"/>
    <w:multiLevelType w:val="multilevel"/>
    <w:tmpl w:val="C6D6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453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785E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A05286"/>
    <w:multiLevelType w:val="multilevel"/>
    <w:tmpl w:val="8244D3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2D7F1C"/>
    <w:multiLevelType w:val="hybridMultilevel"/>
    <w:tmpl w:val="68445678"/>
    <w:lvl w:ilvl="0" w:tplc="FFB0A1B6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Arial" w:hint="default"/>
        <w:b w:val="0"/>
        <w:bCs/>
        <w:spacing w:val="-28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518F5"/>
    <w:multiLevelType w:val="multilevel"/>
    <w:tmpl w:val="430E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0863EA"/>
    <w:multiLevelType w:val="multilevel"/>
    <w:tmpl w:val="B3B0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20372"/>
    <w:multiLevelType w:val="multilevel"/>
    <w:tmpl w:val="D4BE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FD4CE5"/>
    <w:multiLevelType w:val="multilevel"/>
    <w:tmpl w:val="4A86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F5852"/>
    <w:multiLevelType w:val="multilevel"/>
    <w:tmpl w:val="FDE83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A10A6F"/>
    <w:multiLevelType w:val="hybridMultilevel"/>
    <w:tmpl w:val="41860DF4"/>
    <w:lvl w:ilvl="0" w:tplc="85B4B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6D65E90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D7380"/>
    <w:multiLevelType w:val="multilevel"/>
    <w:tmpl w:val="9132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590799"/>
    <w:multiLevelType w:val="hybridMultilevel"/>
    <w:tmpl w:val="5D121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E22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6827B7"/>
    <w:multiLevelType w:val="multilevel"/>
    <w:tmpl w:val="8DBC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051433"/>
    <w:multiLevelType w:val="hybridMultilevel"/>
    <w:tmpl w:val="38D242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6"/>
  </w:num>
  <w:num w:numId="4">
    <w:abstractNumId w:val="1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25"/>
  </w:num>
  <w:num w:numId="7">
    <w:abstractNumId w:val="13"/>
  </w:num>
  <w:num w:numId="8">
    <w:abstractNumId w:val="1"/>
  </w:num>
  <w:num w:numId="9">
    <w:abstractNumId w:val="14"/>
  </w:num>
  <w:num w:numId="10">
    <w:abstractNumId w:val="11"/>
  </w:num>
  <w:num w:numId="11">
    <w:abstractNumId w:val="10"/>
  </w:num>
  <w:num w:numId="12">
    <w:abstractNumId w:val="7"/>
  </w:num>
  <w:num w:numId="13">
    <w:abstractNumId w:val="2"/>
  </w:num>
  <w:num w:numId="14">
    <w:abstractNumId w:val="21"/>
  </w:num>
  <w:num w:numId="15">
    <w:abstractNumId w:val="3"/>
  </w:num>
  <w:num w:numId="16">
    <w:abstractNumId w:val="20"/>
  </w:num>
  <w:num w:numId="17">
    <w:abstractNumId w:val="19"/>
  </w:num>
  <w:num w:numId="18">
    <w:abstractNumId w:val="17"/>
  </w:num>
  <w:num w:numId="19">
    <w:abstractNumId w:val="18"/>
  </w:num>
  <w:num w:numId="20">
    <w:abstractNumId w:val="15"/>
  </w:num>
  <w:num w:numId="21">
    <w:abstractNumId w:val="24"/>
  </w:num>
  <w:num w:numId="22">
    <w:abstractNumId w:val="23"/>
  </w:num>
  <w:num w:numId="23">
    <w:abstractNumId w:val="5"/>
  </w:num>
  <w:num w:numId="24">
    <w:abstractNumId w:val="4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F9"/>
    <w:rsid w:val="0000489C"/>
    <w:rsid w:val="00071228"/>
    <w:rsid w:val="000B18DA"/>
    <w:rsid w:val="00152669"/>
    <w:rsid w:val="0018406E"/>
    <w:rsid w:val="001A2AC3"/>
    <w:rsid w:val="001B24F8"/>
    <w:rsid w:val="001C7A93"/>
    <w:rsid w:val="001E0090"/>
    <w:rsid w:val="00234E9B"/>
    <w:rsid w:val="00253FFC"/>
    <w:rsid w:val="002A053D"/>
    <w:rsid w:val="00356424"/>
    <w:rsid w:val="003B428C"/>
    <w:rsid w:val="003B5F60"/>
    <w:rsid w:val="003B6AB1"/>
    <w:rsid w:val="003C6321"/>
    <w:rsid w:val="003E75F9"/>
    <w:rsid w:val="005727BA"/>
    <w:rsid w:val="00572E4C"/>
    <w:rsid w:val="005A05CE"/>
    <w:rsid w:val="005B019E"/>
    <w:rsid w:val="005C0CFE"/>
    <w:rsid w:val="005E155E"/>
    <w:rsid w:val="005F5F9A"/>
    <w:rsid w:val="00674230"/>
    <w:rsid w:val="006913FF"/>
    <w:rsid w:val="006E020E"/>
    <w:rsid w:val="006E0691"/>
    <w:rsid w:val="006F0729"/>
    <w:rsid w:val="007750F5"/>
    <w:rsid w:val="007F6CB8"/>
    <w:rsid w:val="00834433"/>
    <w:rsid w:val="00850848"/>
    <w:rsid w:val="00860465"/>
    <w:rsid w:val="00897E9F"/>
    <w:rsid w:val="008F2024"/>
    <w:rsid w:val="009179A2"/>
    <w:rsid w:val="009209F0"/>
    <w:rsid w:val="009C5B8C"/>
    <w:rsid w:val="00A56320"/>
    <w:rsid w:val="00A64201"/>
    <w:rsid w:val="00A775F3"/>
    <w:rsid w:val="00A82191"/>
    <w:rsid w:val="00AB4E8C"/>
    <w:rsid w:val="00B442DA"/>
    <w:rsid w:val="00B62415"/>
    <w:rsid w:val="00B858D8"/>
    <w:rsid w:val="00B87227"/>
    <w:rsid w:val="00BB6786"/>
    <w:rsid w:val="00C3687F"/>
    <w:rsid w:val="00C61C35"/>
    <w:rsid w:val="00CD676E"/>
    <w:rsid w:val="00D01705"/>
    <w:rsid w:val="00D60B2A"/>
    <w:rsid w:val="00D95EBE"/>
    <w:rsid w:val="00DB4787"/>
    <w:rsid w:val="00DF125A"/>
    <w:rsid w:val="00E156FA"/>
    <w:rsid w:val="00E51393"/>
    <w:rsid w:val="00E645F7"/>
    <w:rsid w:val="00F560CB"/>
    <w:rsid w:val="00F82577"/>
    <w:rsid w:val="00F840A8"/>
    <w:rsid w:val="00F91EA1"/>
    <w:rsid w:val="00FA6277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15468"/>
  <w15:chartTrackingRefBased/>
  <w15:docId w15:val="{D5541E86-77FF-4B53-B1F5-3AD9E9C0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2DA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5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5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F6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B5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F60"/>
    <w:rPr>
      <w:rFonts w:ascii="Arial" w:hAnsi="Arial"/>
      <w:sz w:val="24"/>
    </w:rPr>
  </w:style>
  <w:style w:type="paragraph" w:styleId="Bezodstpw">
    <w:name w:val="No Spacing"/>
    <w:link w:val="BezodstpwZnak"/>
    <w:uiPriority w:val="1"/>
    <w:qFormat/>
    <w:rsid w:val="0085084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50848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9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79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79A2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9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9A2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Dotyczy postępowania: IF.271.1.2025 „Zwiększenie atrakcyjności sportowej i turystycznej Siemiatycz”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B4DDBC-DE94-4A59-8C0A-22B0A0EF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2</cp:revision>
  <dcterms:created xsi:type="dcterms:W3CDTF">2025-07-04T12:38:00Z</dcterms:created>
  <dcterms:modified xsi:type="dcterms:W3CDTF">2025-07-04T12:38:00Z</dcterms:modified>
  <cp:category>ZAMAWIAJĄCY: Miasto Siemiatycze ul. Pałacowa 217-300 Siemiatycze</cp:category>
</cp:coreProperties>
</file>